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宋体" w:hAnsi="宋体"/>
          <w:b/>
          <w:bCs/>
          <w:color w:val="000000"/>
          <w:sz w:val="48"/>
          <w:szCs w:val="48"/>
        </w:rPr>
      </w:pPr>
    </w:p>
    <w:p>
      <w:pPr>
        <w:pStyle w:val="2"/>
        <w:numPr>
          <w:ilvl w:val="0"/>
          <w:numId w:val="0"/>
        </w:numPr>
        <w:jc w:val="center"/>
        <w:rPr>
          <w:sz w:val="36"/>
          <w:szCs w:val="36"/>
        </w:rPr>
      </w:pPr>
      <w:bookmarkStart w:id="0" w:name="_Toc21814"/>
      <w:bookmarkStart w:id="1" w:name="_Toc31663"/>
      <w:r>
        <w:rPr>
          <w:rFonts w:hint="eastAsia"/>
          <w:sz w:val="36"/>
          <w:szCs w:val="36"/>
          <w:lang w:eastAsia="zh-CN"/>
        </w:rPr>
        <w:t>采用</w:t>
      </w:r>
      <w:r>
        <w:rPr>
          <w:rFonts w:hint="eastAsia"/>
          <w:sz w:val="36"/>
          <w:szCs w:val="36"/>
        </w:rPr>
        <w:t>数学模型</w:t>
      </w:r>
      <w:r>
        <w:rPr>
          <w:rFonts w:hint="eastAsia"/>
          <w:sz w:val="36"/>
          <w:szCs w:val="36"/>
          <w:lang w:eastAsia="zh-CN"/>
        </w:rPr>
        <w:t>随机筛选</w:t>
      </w:r>
      <w:r>
        <w:rPr>
          <w:rFonts w:hint="eastAsia"/>
          <w:sz w:val="36"/>
          <w:szCs w:val="36"/>
        </w:rPr>
        <w:t>入围投标人（离线版</w:t>
      </w:r>
      <w:bookmarkEnd w:id="0"/>
      <w:r>
        <w:rPr>
          <w:rFonts w:hint="eastAsia"/>
          <w:sz w:val="36"/>
          <w:szCs w:val="36"/>
        </w:rPr>
        <w:t>）</w:t>
      </w:r>
      <w:bookmarkEnd w:id="1"/>
    </w:p>
    <w:p>
      <w:pPr>
        <w:keepNext/>
        <w:keepLines/>
        <w:widowControl w:val="0"/>
        <w:spacing w:before="340" w:after="330" w:line="576" w:lineRule="auto"/>
        <w:jc w:val="center"/>
        <w:rPr>
          <w:rFonts w:ascii="黑体" w:hAnsi="黑体" w:eastAsia="黑体" w:cs="黑体"/>
          <w:b/>
          <w:bCs/>
          <w:sz w:val="44"/>
          <w:szCs w:val="44"/>
        </w:rPr>
      </w:pPr>
      <w:r>
        <w:rPr>
          <w:rFonts w:hint="eastAsia" w:ascii="黑体" w:hAnsi="黑体" w:eastAsia="黑体" w:cs="黑体"/>
          <w:b/>
          <w:bCs/>
          <w:sz w:val="44"/>
          <w:szCs w:val="44"/>
        </w:rPr>
        <w:t>操</w:t>
      </w:r>
    </w:p>
    <w:p>
      <w:pPr>
        <w:keepNext/>
        <w:keepLines/>
        <w:widowControl w:val="0"/>
        <w:spacing w:before="340" w:after="330" w:line="576" w:lineRule="auto"/>
        <w:jc w:val="center"/>
        <w:rPr>
          <w:rFonts w:ascii="黑体" w:hAnsi="黑体" w:eastAsia="黑体" w:cs="黑体"/>
          <w:b/>
          <w:bCs/>
          <w:sz w:val="44"/>
          <w:szCs w:val="44"/>
        </w:rPr>
      </w:pPr>
      <w:r>
        <w:rPr>
          <w:rFonts w:hint="eastAsia" w:ascii="黑体" w:hAnsi="黑体" w:eastAsia="黑体" w:cs="黑体"/>
          <w:b/>
          <w:bCs/>
          <w:sz w:val="44"/>
          <w:szCs w:val="44"/>
        </w:rPr>
        <w:t>作</w:t>
      </w:r>
    </w:p>
    <w:p>
      <w:pPr>
        <w:keepNext/>
        <w:keepLines/>
        <w:widowControl w:val="0"/>
        <w:spacing w:before="340" w:after="330" w:line="576" w:lineRule="auto"/>
        <w:jc w:val="center"/>
        <w:rPr>
          <w:rFonts w:ascii="黑体" w:hAnsi="黑体" w:eastAsia="黑体" w:cs="黑体"/>
          <w:b/>
          <w:bCs/>
          <w:sz w:val="44"/>
          <w:szCs w:val="44"/>
        </w:rPr>
      </w:pPr>
      <w:r>
        <w:rPr>
          <w:rFonts w:hint="eastAsia" w:ascii="黑体" w:hAnsi="黑体" w:eastAsia="黑体" w:cs="黑体"/>
          <w:b/>
          <w:bCs/>
          <w:sz w:val="44"/>
          <w:szCs w:val="44"/>
        </w:rPr>
        <w:t>手</w:t>
      </w:r>
    </w:p>
    <w:p>
      <w:pPr>
        <w:keepNext/>
        <w:keepLines/>
        <w:widowControl w:val="0"/>
        <w:spacing w:before="340" w:after="330" w:line="576" w:lineRule="auto"/>
        <w:jc w:val="center"/>
        <w:rPr>
          <w:rFonts w:ascii="黑体" w:hAnsi="黑体" w:eastAsia="黑体" w:cs="黑体"/>
          <w:b/>
          <w:bCs/>
          <w:sz w:val="44"/>
          <w:szCs w:val="44"/>
        </w:rPr>
        <w:sectPr>
          <w:pgSz w:w="11906" w:h="16838"/>
          <w:pgMar w:top="1440" w:right="1800" w:bottom="1440" w:left="1800" w:header="851" w:footer="992" w:gutter="0"/>
          <w:cols w:space="425" w:num="1"/>
          <w:docGrid w:type="lines" w:linePitch="312" w:charSpace="0"/>
        </w:sectPr>
      </w:pPr>
      <w:r>
        <w:rPr>
          <w:rFonts w:hint="eastAsia" w:ascii="黑体" w:hAnsi="黑体" w:eastAsia="黑体" w:cs="黑体"/>
          <w:b/>
          <w:bCs/>
          <w:sz w:val="44"/>
          <w:szCs w:val="44"/>
        </w:rPr>
        <w:t>册</w:t>
      </w:r>
    </w:p>
    <w:p>
      <w:pPr>
        <w:pStyle w:val="10"/>
        <w:tabs>
          <w:tab w:val="right" w:leader="dot" w:pos="8306"/>
        </w:tabs>
        <w:jc w:val="center"/>
        <w:rPr>
          <w:rFonts w:hint="eastAsia" w:eastAsia="宋体"/>
          <w:b/>
          <w:bCs/>
          <w:lang w:eastAsia="zh-CN"/>
        </w:rPr>
      </w:pPr>
      <w:r>
        <w:rPr>
          <w:rFonts w:hint="eastAsia"/>
          <w:b/>
          <w:bCs/>
          <w:lang w:eastAsia="zh-CN"/>
        </w:rPr>
        <w:t>目录</w:t>
      </w:r>
    </w:p>
    <w:p>
      <w:pPr>
        <w:pStyle w:val="10"/>
        <w:tabs>
          <w:tab w:val="right" w:leader="dot" w:pos="8306"/>
        </w:tabs>
      </w:pPr>
      <w:r>
        <w:fldChar w:fldCharType="begin"/>
      </w:r>
      <w:r>
        <w:instrText xml:space="preserve">TOC \o "1-3" \h \u </w:instrText>
      </w:r>
      <w:r>
        <w:fldChar w:fldCharType="separate"/>
      </w:r>
      <w:r>
        <w:fldChar w:fldCharType="begin"/>
      </w:r>
      <w:r>
        <w:instrText xml:space="preserve"> HYPERLINK \l _Toc13804 </w:instrText>
      </w:r>
      <w:r>
        <w:fldChar w:fldCharType="separate"/>
      </w:r>
      <w:r>
        <w:rPr>
          <w:rFonts w:hint="eastAsia"/>
        </w:rPr>
        <w:t>1 功能简介</w:t>
      </w:r>
      <w:r>
        <w:tab/>
      </w:r>
      <w:r>
        <w:fldChar w:fldCharType="begin"/>
      </w:r>
      <w:r>
        <w:instrText xml:space="preserve"> PAGEREF _Toc13804 </w:instrText>
      </w:r>
      <w:r>
        <w:fldChar w:fldCharType="separate"/>
      </w:r>
      <w:r>
        <w:t>1</w:t>
      </w:r>
      <w:r>
        <w:fldChar w:fldCharType="end"/>
      </w:r>
      <w:r>
        <w:fldChar w:fldCharType="end"/>
      </w:r>
    </w:p>
    <w:p>
      <w:pPr>
        <w:pStyle w:val="10"/>
        <w:tabs>
          <w:tab w:val="right" w:leader="dot" w:pos="8306"/>
        </w:tabs>
      </w:pPr>
      <w:r>
        <w:fldChar w:fldCharType="begin"/>
      </w:r>
      <w:r>
        <w:instrText xml:space="preserve"> HYPERLINK \l _Toc5263 </w:instrText>
      </w:r>
      <w:r>
        <w:fldChar w:fldCharType="separate"/>
      </w:r>
      <w:r>
        <w:rPr>
          <w:rFonts w:hint="eastAsia"/>
        </w:rPr>
        <w:t>2 操作流程</w:t>
      </w:r>
      <w:r>
        <w:tab/>
      </w:r>
      <w:r>
        <w:fldChar w:fldCharType="begin"/>
      </w:r>
      <w:r>
        <w:instrText xml:space="preserve"> PAGEREF _Toc5263 </w:instrText>
      </w:r>
      <w:r>
        <w:fldChar w:fldCharType="separate"/>
      </w:r>
      <w:r>
        <w:t>1</w:t>
      </w:r>
      <w:r>
        <w:fldChar w:fldCharType="end"/>
      </w:r>
      <w:r>
        <w:fldChar w:fldCharType="end"/>
      </w:r>
    </w:p>
    <w:p>
      <w:pPr>
        <w:pStyle w:val="10"/>
        <w:tabs>
          <w:tab w:val="right" w:leader="dot" w:pos="8306"/>
        </w:tabs>
      </w:pPr>
      <w:r>
        <w:fldChar w:fldCharType="begin"/>
      </w:r>
      <w:r>
        <w:instrText xml:space="preserve"> HYPERLINK \l _Toc23645 </w:instrText>
      </w:r>
      <w:r>
        <w:fldChar w:fldCharType="separate"/>
      </w:r>
      <w:r>
        <w:rPr>
          <w:rFonts w:hint="eastAsia"/>
        </w:rPr>
        <w:t>3 下载“离线版”</w:t>
      </w:r>
      <w:r>
        <w:tab/>
      </w:r>
      <w:r>
        <w:fldChar w:fldCharType="begin"/>
      </w:r>
      <w:r>
        <w:instrText xml:space="preserve"> PAGEREF _Toc23645 </w:instrText>
      </w:r>
      <w:r>
        <w:fldChar w:fldCharType="separate"/>
      </w:r>
      <w:r>
        <w:t>2</w:t>
      </w:r>
      <w:r>
        <w:fldChar w:fldCharType="end"/>
      </w:r>
      <w:r>
        <w:fldChar w:fldCharType="end"/>
      </w:r>
    </w:p>
    <w:p>
      <w:pPr>
        <w:pStyle w:val="10"/>
        <w:tabs>
          <w:tab w:val="right" w:leader="dot" w:pos="8306"/>
        </w:tabs>
      </w:pPr>
      <w:r>
        <w:fldChar w:fldCharType="begin"/>
      </w:r>
      <w:r>
        <w:instrText xml:space="preserve"> HYPERLINK \l _Toc19455 </w:instrText>
      </w:r>
      <w:r>
        <w:fldChar w:fldCharType="separate"/>
      </w:r>
      <w:r>
        <w:rPr>
          <w:rFonts w:hint="eastAsia"/>
        </w:rPr>
        <w:t>4 开标辅助系统操作</w:t>
      </w:r>
      <w:r>
        <w:rPr>
          <w:rFonts w:hint="eastAsia"/>
          <w:lang w:eastAsia="zh-CN"/>
        </w:rPr>
        <w:t>（</w:t>
      </w:r>
      <w:r>
        <w:rPr>
          <w:rFonts w:hint="eastAsia"/>
          <w:lang w:val="en-US" w:eastAsia="zh-CN"/>
        </w:rPr>
        <w:t>招标人/招标代理机构</w:t>
      </w:r>
      <w:r>
        <w:rPr>
          <w:rFonts w:hint="eastAsia"/>
          <w:lang w:eastAsia="zh-CN"/>
        </w:rPr>
        <w:t>）</w:t>
      </w:r>
      <w:r>
        <w:tab/>
      </w:r>
      <w:r>
        <w:fldChar w:fldCharType="begin"/>
      </w:r>
      <w:r>
        <w:instrText xml:space="preserve"> PAGEREF _Toc19455 </w:instrText>
      </w:r>
      <w:r>
        <w:fldChar w:fldCharType="separate"/>
      </w:r>
      <w:r>
        <w:t>2</w:t>
      </w:r>
      <w:r>
        <w:fldChar w:fldCharType="end"/>
      </w:r>
      <w:r>
        <w:fldChar w:fldCharType="end"/>
      </w:r>
    </w:p>
    <w:p>
      <w:pPr>
        <w:pStyle w:val="10"/>
        <w:tabs>
          <w:tab w:val="right" w:leader="dot" w:pos="8306"/>
        </w:tabs>
      </w:pPr>
      <w:r>
        <w:fldChar w:fldCharType="begin"/>
      </w:r>
      <w:r>
        <w:instrText xml:space="preserve"> HYPERLINK \l _Toc4453 </w:instrText>
      </w:r>
      <w:r>
        <w:fldChar w:fldCharType="separate"/>
      </w:r>
      <w:r>
        <w:rPr>
          <w:rFonts w:hint="eastAsia"/>
        </w:rPr>
        <w:t>5 开标辅助系统操作</w:t>
      </w:r>
      <w:r>
        <w:rPr>
          <w:rFonts w:hint="eastAsia"/>
          <w:lang w:eastAsia="zh-CN"/>
        </w:rPr>
        <w:t>（</w:t>
      </w:r>
      <w:r>
        <w:rPr>
          <w:rFonts w:hint="eastAsia"/>
          <w:lang w:val="en-US" w:eastAsia="zh-CN"/>
        </w:rPr>
        <w:t>投标人</w:t>
      </w:r>
      <w:r>
        <w:rPr>
          <w:rFonts w:hint="eastAsia"/>
          <w:lang w:eastAsia="zh-CN"/>
        </w:rPr>
        <w:t>）</w:t>
      </w:r>
      <w:r>
        <w:tab/>
      </w:r>
      <w:r>
        <w:fldChar w:fldCharType="begin"/>
      </w:r>
      <w:r>
        <w:instrText xml:space="preserve"> PAGEREF _Toc4453 </w:instrText>
      </w:r>
      <w:r>
        <w:fldChar w:fldCharType="separate"/>
      </w:r>
      <w:r>
        <w:t>4</w:t>
      </w:r>
      <w:r>
        <w:fldChar w:fldCharType="end"/>
      </w:r>
      <w:r>
        <w:fldChar w:fldCharType="end"/>
      </w:r>
    </w:p>
    <w:p>
      <w:pPr>
        <w:pStyle w:val="10"/>
        <w:tabs>
          <w:tab w:val="right" w:leader="dot" w:pos="8306"/>
        </w:tabs>
      </w:pPr>
      <w:r>
        <w:fldChar w:fldCharType="begin"/>
      </w:r>
      <w:r>
        <w:instrText xml:space="preserve"> HYPERLINK \l _Toc2044 </w:instrText>
      </w:r>
      <w:r>
        <w:fldChar w:fldCharType="separate"/>
      </w:r>
      <w:r>
        <w:rPr>
          <w:rFonts w:hint="eastAsia"/>
        </w:rPr>
        <w:t>6 离线版操作</w:t>
      </w:r>
      <w:r>
        <w:tab/>
      </w:r>
      <w:r>
        <w:fldChar w:fldCharType="begin"/>
      </w:r>
      <w:r>
        <w:instrText xml:space="preserve"> PAGEREF _Toc2044 </w:instrText>
      </w:r>
      <w:r>
        <w:fldChar w:fldCharType="separate"/>
      </w:r>
      <w:r>
        <w:t>5</w:t>
      </w:r>
      <w:r>
        <w:fldChar w:fldCharType="end"/>
      </w:r>
      <w:r>
        <w:fldChar w:fldCharType="end"/>
      </w:r>
    </w:p>
    <w:p>
      <w:pPr>
        <w:pStyle w:val="10"/>
        <w:tabs>
          <w:tab w:val="right" w:leader="dot" w:pos="8306"/>
        </w:tabs>
      </w:pPr>
      <w:r>
        <w:fldChar w:fldCharType="begin"/>
      </w:r>
      <w:r>
        <w:instrText xml:space="preserve"> HYPERLINK \l _Toc1229 </w:instrText>
      </w:r>
      <w:r>
        <w:fldChar w:fldCharType="separate"/>
      </w:r>
      <w:r>
        <w:rPr>
          <w:rFonts w:hint="eastAsia"/>
        </w:rPr>
        <w:t>7 筛选结果比对</w:t>
      </w:r>
      <w:r>
        <w:tab/>
      </w:r>
      <w:r>
        <w:fldChar w:fldCharType="begin"/>
      </w:r>
      <w:r>
        <w:instrText xml:space="preserve"> PAGEREF _Toc1229 </w:instrText>
      </w:r>
      <w:r>
        <w:fldChar w:fldCharType="separate"/>
      </w:r>
      <w:r>
        <w:t>8</w:t>
      </w:r>
      <w:r>
        <w:fldChar w:fldCharType="end"/>
      </w:r>
      <w:r>
        <w:fldChar w:fldCharType="end"/>
      </w:r>
    </w:p>
    <w:p>
      <w:r>
        <w:fldChar w:fldCharType="end"/>
      </w:r>
    </w:p>
    <w:p>
      <w:pPr>
        <w:pStyle w:val="2"/>
        <w:sectPr>
          <w:footerReference r:id="rId3" w:type="default"/>
          <w:pgSz w:w="11906" w:h="16838"/>
          <w:pgMar w:top="1440" w:right="1800" w:bottom="1440" w:left="1800" w:header="851" w:footer="992" w:gutter="0"/>
          <w:pgNumType w:start="1"/>
          <w:cols w:space="425" w:num="1"/>
          <w:docGrid w:type="lines" w:linePitch="312" w:charSpace="0"/>
        </w:sectPr>
      </w:pPr>
    </w:p>
    <w:p>
      <w:pPr>
        <w:pStyle w:val="2"/>
      </w:pPr>
      <w:bookmarkStart w:id="2" w:name="_Toc13804"/>
      <w:r>
        <w:rPr>
          <w:rFonts w:hint="eastAsia"/>
        </w:rPr>
        <w:t>功能简介</w:t>
      </w:r>
      <w:bookmarkEnd w:id="2"/>
      <w:bookmarkStart w:id="9" w:name="_GoBack"/>
      <w:bookmarkEnd w:id="9"/>
    </w:p>
    <w:p>
      <w:r>
        <w:rPr>
          <w:rFonts w:hint="eastAsia"/>
        </w:rPr>
        <w:t xml:space="preserve">    本文所称的</w:t>
      </w:r>
      <w:r>
        <w:rPr>
          <w:rFonts w:hint="eastAsia"/>
          <w:b/>
        </w:rPr>
        <w:t>“开标辅助系统”</w:t>
      </w:r>
      <w:r>
        <w:rPr>
          <w:rFonts w:hint="eastAsia"/>
        </w:rPr>
        <w:t>指的是厦门市建设工程电子招投标交易平台开标辅助系统。</w:t>
      </w:r>
    </w:p>
    <w:p>
      <w:r>
        <w:rPr>
          <w:rFonts w:hint="eastAsia"/>
        </w:rPr>
        <w:t xml:space="preserve">    本文所称的</w:t>
      </w:r>
      <w:r>
        <w:rPr>
          <w:rFonts w:hint="eastAsia"/>
          <w:b/>
        </w:rPr>
        <w:t>“离线版”</w:t>
      </w:r>
      <w:r>
        <w:rPr>
          <w:rFonts w:hint="eastAsia"/>
        </w:rPr>
        <w:t>指的是</w:t>
      </w:r>
      <w:r>
        <w:rPr>
          <w:rFonts w:hint="eastAsia"/>
          <w:lang w:eastAsia="zh-CN"/>
        </w:rPr>
        <w:t>采用</w:t>
      </w:r>
      <w:r>
        <w:rPr>
          <w:rFonts w:hint="eastAsia"/>
        </w:rPr>
        <w:t>数学模型随机</w:t>
      </w:r>
      <w:r>
        <w:rPr>
          <w:rFonts w:hint="eastAsia"/>
          <w:lang w:eastAsia="zh-CN"/>
        </w:rPr>
        <w:t>筛选</w:t>
      </w:r>
      <w:r>
        <w:rPr>
          <w:rFonts w:hint="eastAsia"/>
        </w:rPr>
        <w:t>入围投标人离线版客户端。</w:t>
      </w:r>
    </w:p>
    <w:p>
      <w:pPr>
        <w:rPr>
          <w:rFonts w:ascii="宋体" w:hAnsi="宋体" w:cs="宋体"/>
          <w:kern w:val="0"/>
          <w:szCs w:val="24"/>
        </w:rPr>
      </w:pPr>
      <w:r>
        <w:rPr>
          <w:rFonts w:hint="eastAsia"/>
        </w:rPr>
        <w:t xml:space="preserve">    </w:t>
      </w:r>
      <w:r>
        <w:rPr>
          <w:rFonts w:hint="eastAsia"/>
          <w:lang w:eastAsia="zh-CN"/>
        </w:rPr>
        <w:t>于</w:t>
      </w:r>
      <w:r>
        <w:rPr>
          <w:rFonts w:hint="eastAsia"/>
          <w:lang w:val="en-US" w:eastAsia="zh-CN"/>
        </w:rPr>
        <w:t>2020年1月10日发布公告的</w:t>
      </w:r>
      <w:r>
        <w:rPr>
          <w:rFonts w:hint="eastAsia" w:ascii="宋体" w:hAnsi="宋体" w:cs="宋体"/>
          <w:kern w:val="0"/>
          <w:szCs w:val="24"/>
        </w:rPr>
        <w:t>采用经评审的最低投标价中标法及简易评标法的房屋建筑和市政基础设施工程施工</w:t>
      </w:r>
      <w:r>
        <w:rPr>
          <w:rFonts w:hint="eastAsia" w:ascii="宋体" w:hAnsi="宋体" w:cs="宋体"/>
          <w:kern w:val="0"/>
          <w:szCs w:val="24"/>
          <w:lang w:eastAsia="zh-CN"/>
        </w:rPr>
        <w:t>和园林绿化</w:t>
      </w:r>
      <w:r>
        <w:rPr>
          <w:rFonts w:hint="eastAsia" w:ascii="宋体" w:hAnsi="宋体" w:cs="宋体"/>
          <w:kern w:val="0"/>
          <w:szCs w:val="24"/>
        </w:rPr>
        <w:t>招投标项目</w:t>
      </w:r>
      <w:r>
        <w:rPr>
          <w:rFonts w:hint="eastAsia"/>
          <w:lang w:val="en-US" w:eastAsia="zh-CN"/>
        </w:rPr>
        <w:t>，</w:t>
      </w:r>
      <w:r>
        <w:rPr>
          <w:rFonts w:hint="eastAsia"/>
        </w:rPr>
        <w:t>根据省住建厅招标文件范本及</w:t>
      </w:r>
      <w:r>
        <w:rPr>
          <w:rFonts w:hint="eastAsia" w:ascii="宋体" w:hAnsi="宋体" w:cs="宋体"/>
          <w:kern w:val="0"/>
          <w:szCs w:val="24"/>
        </w:rPr>
        <w:t>厦门市建设局关于调整部分招标文件范本内容的通知》（</w:t>
      </w:r>
      <w:r>
        <w:rPr>
          <w:rFonts w:ascii="宋体" w:hAnsi="宋体" w:cs="宋体"/>
          <w:kern w:val="0"/>
          <w:szCs w:val="24"/>
        </w:rPr>
        <w:t>厦建筑〔201</w:t>
      </w:r>
      <w:r>
        <w:rPr>
          <w:rFonts w:hint="eastAsia" w:ascii="宋体" w:hAnsi="宋体" w:cs="宋体"/>
          <w:kern w:val="0"/>
          <w:szCs w:val="24"/>
          <w:lang w:val="en-US" w:eastAsia="zh-CN"/>
        </w:rPr>
        <w:t>9</w:t>
      </w:r>
      <w:r>
        <w:rPr>
          <w:rFonts w:ascii="宋体" w:hAnsi="宋体" w:cs="宋体"/>
          <w:kern w:val="0"/>
          <w:szCs w:val="24"/>
        </w:rPr>
        <w:t>〕</w:t>
      </w:r>
      <w:r>
        <w:rPr>
          <w:rFonts w:hint="eastAsia" w:ascii="宋体" w:hAnsi="宋体" w:cs="宋体"/>
          <w:kern w:val="0"/>
          <w:szCs w:val="24"/>
          <w:lang w:val="en-US" w:eastAsia="zh-CN"/>
        </w:rPr>
        <w:t>87</w:t>
      </w:r>
      <w:r>
        <w:rPr>
          <w:rFonts w:ascii="宋体" w:hAnsi="宋体" w:cs="宋体"/>
          <w:kern w:val="0"/>
          <w:szCs w:val="24"/>
        </w:rPr>
        <w:t>号</w:t>
      </w:r>
      <w:r>
        <w:rPr>
          <w:rFonts w:hint="eastAsia" w:ascii="宋体" w:hAnsi="宋体" w:cs="宋体"/>
          <w:kern w:val="0"/>
          <w:szCs w:val="24"/>
        </w:rPr>
        <w:t>）</w:t>
      </w:r>
      <w:r>
        <w:rPr>
          <w:rFonts w:hint="eastAsia"/>
        </w:rPr>
        <w:t>要求</w:t>
      </w:r>
      <w:r>
        <w:rPr>
          <w:rFonts w:hint="eastAsia" w:ascii="宋体" w:hAnsi="宋体" w:cs="宋体"/>
          <w:kern w:val="0"/>
          <w:szCs w:val="24"/>
        </w:rPr>
        <w:t>，</w:t>
      </w:r>
      <w:r>
        <w:rPr>
          <w:rFonts w:hint="eastAsia" w:ascii="Times New Roman" w:hAnsi="Times New Roman" w:eastAsia="宋体" w:cs="Times New Roman"/>
          <w:color w:val="000000"/>
          <w:kern w:val="2"/>
          <w:sz w:val="24"/>
          <w:szCs w:val="22"/>
          <w:lang w:val="en-US" w:eastAsia="zh-CN" w:bidi="ar-SA"/>
        </w:rPr>
        <w:t>若符合要求的投标人数量超过50家（不含本数，为经评审的最低投标价中标法）或超过20家（不含本数，为简易评标法），</w:t>
      </w:r>
      <w:r>
        <w:rPr>
          <w:rFonts w:hint="eastAsia" w:ascii="宋体" w:hAnsi="宋体" w:cs="宋体"/>
          <w:kern w:val="0"/>
          <w:szCs w:val="24"/>
        </w:rPr>
        <w:t>由厦门市建设工程电子招投标交易平台（开标辅助系统的“</w:t>
      </w:r>
      <w:r>
        <w:rPr>
          <w:rFonts w:hint="eastAsia" w:ascii="宋体" w:hAnsi="宋体" w:cs="宋体"/>
          <w:kern w:val="0"/>
          <w:szCs w:val="24"/>
          <w:lang w:eastAsia="zh-CN"/>
        </w:rPr>
        <w:t>采用</w:t>
      </w:r>
      <w:r>
        <w:rPr>
          <w:rFonts w:hint="eastAsia" w:ascii="宋体" w:hAnsi="宋体" w:cs="宋体"/>
          <w:kern w:val="0"/>
          <w:szCs w:val="24"/>
        </w:rPr>
        <w:t>数学模型随机抽取入围投标人”）自动随机筛选出投标人进入后续开、评标环节。</w:t>
      </w:r>
    </w:p>
    <w:p>
      <w:pPr>
        <w:ind w:firstLine="480" w:firstLineChars="200"/>
      </w:pPr>
      <w:r>
        <w:rPr>
          <w:rFonts w:hint="eastAsia" w:ascii="宋体" w:hAnsi="宋体" w:cs="宋体"/>
          <w:kern w:val="0"/>
          <w:szCs w:val="24"/>
        </w:rPr>
        <w:t>为确保交易过程公开透明，各交易主体可自行下载“离线版”，</w:t>
      </w:r>
      <w:r>
        <w:rPr>
          <w:rFonts w:hint="eastAsia"/>
        </w:rPr>
        <w:t>在“离线版”中导入</w:t>
      </w:r>
      <w:r>
        <w:rPr>
          <w:rFonts w:hint="eastAsia" w:ascii="宋体" w:hAnsi="宋体" w:cs="宋体"/>
          <w:kern w:val="0"/>
          <w:szCs w:val="24"/>
        </w:rPr>
        <w:t>已解密的所有投标人xml格式的</w:t>
      </w:r>
      <w:r>
        <w:rPr>
          <w:rFonts w:hint="eastAsia"/>
        </w:rPr>
        <w:t>“</w:t>
      </w:r>
      <w:r>
        <w:rPr>
          <w:rFonts w:hint="eastAsia" w:ascii="宋体" w:hAnsi="宋体" w:cs="宋体"/>
          <w:kern w:val="0"/>
          <w:szCs w:val="24"/>
          <w:lang w:eastAsia="zh-CN"/>
        </w:rPr>
        <w:t>校验筛选结果的</w:t>
      </w:r>
      <w:r>
        <w:rPr>
          <w:rFonts w:hint="eastAsia" w:ascii="宋体" w:hAnsi="宋体" w:cs="宋体"/>
          <w:kern w:val="0"/>
          <w:szCs w:val="24"/>
        </w:rPr>
        <w:t>投递信息</w:t>
      </w:r>
      <w:r>
        <w:rPr>
          <w:rFonts w:hint="eastAsia"/>
        </w:rPr>
        <w:t>”</w:t>
      </w:r>
      <w:r>
        <w:rPr>
          <w:rFonts w:hint="eastAsia" w:ascii="宋体" w:hAnsi="宋体" w:cs="宋体"/>
          <w:kern w:val="0"/>
          <w:szCs w:val="24"/>
        </w:rPr>
        <w:t>文档</w:t>
      </w:r>
      <w:r>
        <w:rPr>
          <w:rFonts w:hint="eastAsia"/>
        </w:rPr>
        <w:t>并导出筛选结果，</w:t>
      </w:r>
      <w:r>
        <w:rPr>
          <w:rFonts w:hint="eastAsia" w:ascii="宋体" w:hAnsi="宋体" w:cs="宋体"/>
          <w:kern w:val="0"/>
          <w:szCs w:val="24"/>
        </w:rPr>
        <w:t>与“开标辅助系统”</w:t>
      </w:r>
      <w:r>
        <w:rPr>
          <w:rFonts w:hint="eastAsia" w:ascii="宋体" w:hAnsi="宋体" w:cs="宋体"/>
          <w:kern w:val="0"/>
          <w:szCs w:val="24"/>
          <w:lang w:eastAsia="zh-CN"/>
        </w:rPr>
        <w:t>采用</w:t>
      </w:r>
      <w:r>
        <w:rPr>
          <w:rFonts w:hint="eastAsia" w:ascii="宋体" w:hAnsi="宋体" w:cs="宋体"/>
          <w:kern w:val="0"/>
          <w:szCs w:val="24"/>
        </w:rPr>
        <w:t>数学模型随机筛选入围投标人的结果比对，验证其结果是否一致。</w:t>
      </w:r>
    </w:p>
    <w:p>
      <w:pPr>
        <w:pStyle w:val="2"/>
      </w:pPr>
      <w:bookmarkStart w:id="3" w:name="_Toc5263"/>
      <w:r>
        <w:rPr>
          <w:rFonts w:hint="eastAsia"/>
        </w:rPr>
        <w:t>操作流程</w:t>
      </w:r>
      <w:bookmarkEnd w:id="3"/>
    </w:p>
    <w:p>
      <w:r>
        <w:rPr>
          <w:rFonts w:hint="eastAsia"/>
        </w:rPr>
        <w:t>1.下载安装“离线版”；</w:t>
      </w:r>
    </w:p>
    <w:p>
      <w:r>
        <w:rPr>
          <w:rFonts w:hint="eastAsia"/>
        </w:rPr>
        <w:t>2.在“开标辅助系统”中导出</w:t>
      </w:r>
      <w:r>
        <w:rPr>
          <w:rFonts w:hint="eastAsia" w:ascii="宋体" w:hAnsi="宋体" w:cs="宋体"/>
          <w:kern w:val="0"/>
          <w:szCs w:val="24"/>
        </w:rPr>
        <w:t>已解密的所有投标人xml格式的</w:t>
      </w:r>
      <w:r>
        <w:rPr>
          <w:rFonts w:hint="eastAsia"/>
        </w:rPr>
        <w:t>“</w:t>
      </w:r>
      <w:r>
        <w:rPr>
          <w:rFonts w:hint="eastAsia" w:ascii="宋体" w:hAnsi="宋体" w:cs="宋体"/>
          <w:kern w:val="0"/>
          <w:szCs w:val="24"/>
          <w:lang w:eastAsia="zh-CN"/>
        </w:rPr>
        <w:t>校验筛选结果的</w:t>
      </w:r>
      <w:r>
        <w:rPr>
          <w:rFonts w:hint="eastAsia" w:ascii="宋体" w:hAnsi="宋体" w:cs="宋体"/>
          <w:kern w:val="0"/>
          <w:szCs w:val="24"/>
        </w:rPr>
        <w:t>投递信息</w:t>
      </w:r>
      <w:r>
        <w:rPr>
          <w:rFonts w:hint="eastAsia"/>
        </w:rPr>
        <w:t>”</w:t>
      </w:r>
      <w:r>
        <w:rPr>
          <w:rFonts w:hint="eastAsia" w:ascii="宋体" w:hAnsi="宋体" w:cs="宋体"/>
          <w:kern w:val="0"/>
          <w:szCs w:val="24"/>
        </w:rPr>
        <w:t>文档</w:t>
      </w:r>
      <w:r>
        <w:rPr>
          <w:rFonts w:hint="eastAsia"/>
        </w:rPr>
        <w:t>；</w:t>
      </w:r>
    </w:p>
    <w:p>
      <w:pPr>
        <w:rPr>
          <w:rFonts w:ascii="宋体" w:hAnsi="宋体" w:cs="宋体"/>
          <w:kern w:val="0"/>
          <w:szCs w:val="24"/>
        </w:rPr>
      </w:pPr>
      <w:r>
        <w:rPr>
          <w:rFonts w:hint="eastAsia"/>
        </w:rPr>
        <w:t>3.在“开标辅助系统”中导出筛选结果；</w:t>
      </w:r>
    </w:p>
    <w:p>
      <w:r>
        <w:rPr>
          <w:rFonts w:hint="eastAsia"/>
        </w:rPr>
        <w:t>4.在“离线版”中导入</w:t>
      </w:r>
      <w:r>
        <w:rPr>
          <w:rFonts w:hint="eastAsia" w:ascii="宋体" w:hAnsi="宋体" w:cs="宋体"/>
          <w:kern w:val="0"/>
          <w:szCs w:val="24"/>
        </w:rPr>
        <w:t>已解密的所有投标人xml格式的</w:t>
      </w:r>
      <w:r>
        <w:rPr>
          <w:rFonts w:hint="eastAsia"/>
        </w:rPr>
        <w:t>“</w:t>
      </w:r>
      <w:r>
        <w:rPr>
          <w:rFonts w:hint="eastAsia" w:ascii="宋体" w:hAnsi="宋体" w:cs="宋体"/>
          <w:kern w:val="0"/>
          <w:szCs w:val="24"/>
          <w:lang w:eastAsia="zh-CN"/>
        </w:rPr>
        <w:t>校验筛选结果的</w:t>
      </w:r>
      <w:r>
        <w:rPr>
          <w:rFonts w:hint="eastAsia" w:ascii="宋体" w:hAnsi="宋体" w:cs="宋体"/>
          <w:kern w:val="0"/>
          <w:szCs w:val="24"/>
        </w:rPr>
        <w:t>投递信息</w:t>
      </w:r>
      <w:r>
        <w:rPr>
          <w:rFonts w:hint="eastAsia"/>
        </w:rPr>
        <w:t>”</w:t>
      </w:r>
      <w:r>
        <w:rPr>
          <w:rFonts w:hint="eastAsia" w:ascii="宋体" w:hAnsi="宋体" w:cs="宋体"/>
          <w:kern w:val="0"/>
          <w:szCs w:val="24"/>
        </w:rPr>
        <w:t>文档</w:t>
      </w:r>
      <w:r>
        <w:rPr>
          <w:rFonts w:hint="eastAsia"/>
        </w:rPr>
        <w:t>并导出筛选结果；</w:t>
      </w:r>
    </w:p>
    <w:p>
      <w:r>
        <w:rPr>
          <w:rFonts w:hint="eastAsia"/>
        </w:rPr>
        <w:t>5. 对比“离线版”与“开标辅助系统”的筛选结果。</w:t>
      </w:r>
    </w:p>
    <w:p>
      <w:pPr>
        <w:pStyle w:val="2"/>
      </w:pPr>
      <w:bookmarkStart w:id="4" w:name="_Toc23645"/>
      <w:r>
        <w:rPr>
          <w:rFonts w:hint="eastAsia"/>
        </w:rPr>
        <w:t>下载“离线版”</w:t>
      </w:r>
      <w:bookmarkEnd w:id="4"/>
    </w:p>
    <w:p>
      <w:pPr>
        <w:ind w:firstLine="480" w:firstLineChars="200"/>
      </w:pPr>
      <w:r>
        <w:rPr>
          <w:rFonts w:hint="eastAsia"/>
        </w:rPr>
        <w:t>到厦门市公共资源交易网（http://www.xmzyjy.cn/）的下载中心的软件下载模块下载并</w:t>
      </w:r>
      <w:r>
        <w:rPr>
          <w:rFonts w:hint="eastAsia"/>
          <w:lang w:val="en-US" w:eastAsia="zh-CN"/>
        </w:rPr>
        <w:t>解压</w:t>
      </w:r>
      <w:r>
        <w:rPr>
          <w:rFonts w:hint="eastAsia"/>
        </w:rPr>
        <w:t>数学模型离线版客户端。</w:t>
      </w:r>
      <w:r>
        <w:rPr>
          <w:rFonts w:ascii="宋体" w:hAnsi="宋体" w:cs="宋体"/>
          <w:kern w:val="0"/>
          <w:szCs w:val="24"/>
        </w:rPr>
        <w:drawing>
          <wp:inline distT="0" distB="0" distL="114300" distR="114300">
            <wp:extent cx="5810250" cy="1419225"/>
            <wp:effectExtent l="0" t="0" r="0" b="9525"/>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6"/>
                    <a:stretch>
                      <a:fillRect/>
                    </a:stretch>
                  </pic:blipFill>
                  <pic:spPr>
                    <a:xfrm>
                      <a:off x="0" y="0"/>
                      <a:ext cx="5810250" cy="1419225"/>
                    </a:xfrm>
                    <a:prstGeom prst="rect">
                      <a:avLst/>
                    </a:prstGeom>
                    <a:noFill/>
                    <a:ln w="9525">
                      <a:noFill/>
                    </a:ln>
                  </pic:spPr>
                </pic:pic>
              </a:graphicData>
            </a:graphic>
          </wp:inline>
        </w:drawing>
      </w:r>
    </w:p>
    <w:p>
      <w:pPr>
        <w:pStyle w:val="2"/>
      </w:pPr>
      <w:bookmarkStart w:id="5" w:name="_Toc19455"/>
      <w:r>
        <w:rPr>
          <w:rFonts w:hint="eastAsia"/>
        </w:rPr>
        <w:t>开标辅助系统操作</w:t>
      </w:r>
      <w:r>
        <w:rPr>
          <w:rFonts w:hint="eastAsia"/>
          <w:lang w:eastAsia="zh-CN"/>
        </w:rPr>
        <w:t>（</w:t>
      </w:r>
      <w:r>
        <w:rPr>
          <w:rFonts w:hint="eastAsia"/>
          <w:lang w:val="en-US" w:eastAsia="zh-CN"/>
        </w:rPr>
        <w:t>招标人/招标代理机构</w:t>
      </w:r>
      <w:r>
        <w:rPr>
          <w:rFonts w:hint="eastAsia"/>
          <w:lang w:eastAsia="zh-CN"/>
        </w:rPr>
        <w:t>）</w:t>
      </w:r>
      <w:bookmarkEnd w:id="5"/>
    </w:p>
    <w:p>
      <w:pPr>
        <w:rPr>
          <w:rFonts w:ascii="宋体" w:hAnsi="宋体" w:cs="宋体"/>
          <w:kern w:val="0"/>
          <w:szCs w:val="24"/>
        </w:rPr>
      </w:pPr>
      <w:r>
        <w:rPr>
          <w:rFonts w:hint="eastAsia" w:ascii="宋体" w:hAnsi="宋体" w:cs="宋体"/>
          <w:kern w:val="0"/>
          <w:szCs w:val="24"/>
        </w:rPr>
        <w:t>（1）登录</w:t>
      </w:r>
      <w:r>
        <w:rPr>
          <w:rFonts w:hint="eastAsia"/>
        </w:rPr>
        <w:t>开标辅助系统。</w:t>
      </w:r>
    </w:p>
    <w:p>
      <w:r>
        <w:rPr>
          <w:rFonts w:ascii="宋体" w:hAnsi="宋体" w:cs="宋体"/>
          <w:kern w:val="0"/>
          <w:szCs w:val="24"/>
        </w:rPr>
        <w:drawing>
          <wp:inline distT="0" distB="0" distL="114300" distR="114300">
            <wp:extent cx="6188075" cy="2925445"/>
            <wp:effectExtent l="0" t="0" r="3175" b="825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tretch>
                      <a:fillRect/>
                    </a:stretch>
                  </pic:blipFill>
                  <pic:spPr>
                    <a:xfrm>
                      <a:off x="0" y="0"/>
                      <a:ext cx="6188075" cy="2925445"/>
                    </a:xfrm>
                    <a:prstGeom prst="rect">
                      <a:avLst/>
                    </a:prstGeom>
                    <a:noFill/>
                    <a:ln w="9525">
                      <a:noFill/>
                    </a:ln>
                  </pic:spPr>
                </pic:pic>
              </a:graphicData>
            </a:graphic>
          </wp:inline>
        </w:drawing>
      </w:r>
    </w:p>
    <w:p>
      <w:pPr>
        <w:rPr>
          <w:rFonts w:ascii="宋体" w:hAnsi="宋体" w:cs="宋体"/>
          <w:kern w:val="0"/>
          <w:szCs w:val="24"/>
        </w:rPr>
      </w:pPr>
      <w:r>
        <w:rPr>
          <w:rFonts w:hint="eastAsia" w:ascii="宋体" w:hAnsi="宋体" w:cs="宋体"/>
          <w:kern w:val="0"/>
          <w:szCs w:val="24"/>
        </w:rPr>
        <w:t>（2）在</w:t>
      </w:r>
      <w:r>
        <w:rPr>
          <w:rFonts w:hint="eastAsia" w:ascii="宋体" w:hAnsi="宋体" w:cs="宋体"/>
          <w:kern w:val="0"/>
          <w:szCs w:val="24"/>
          <w:lang w:eastAsia="zh-CN"/>
        </w:rPr>
        <w:t>入围投标人筛选</w:t>
      </w:r>
      <w:r>
        <w:rPr>
          <w:rFonts w:hint="eastAsia" w:ascii="宋体" w:hAnsi="宋体" w:cs="宋体"/>
          <w:kern w:val="0"/>
          <w:szCs w:val="24"/>
        </w:rPr>
        <w:t>页面，点击【</w:t>
      </w:r>
      <w:r>
        <w:rPr>
          <w:rFonts w:hint="eastAsia" w:ascii="宋体" w:hAnsi="宋体" w:cs="宋体"/>
          <w:kern w:val="0"/>
          <w:szCs w:val="24"/>
          <w:lang w:eastAsia="zh-CN"/>
        </w:rPr>
        <w:t>校验筛选结果的</w:t>
      </w:r>
      <w:r>
        <w:rPr>
          <w:rFonts w:hint="eastAsia" w:ascii="宋体" w:hAnsi="宋体" w:cs="宋体"/>
          <w:kern w:val="0"/>
          <w:szCs w:val="24"/>
        </w:rPr>
        <w:t>投递信息下载】，选择下载路径并下载，即可下载此项目已解密成功的所有投标人xml格式的投递信息文档。</w:t>
      </w:r>
    </w:p>
    <w:p>
      <w:r>
        <w:drawing>
          <wp:inline distT="0" distB="0" distL="114300" distR="114300">
            <wp:extent cx="5273675" cy="3167380"/>
            <wp:effectExtent l="0" t="0" r="3175" b="139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5273675" cy="3167380"/>
                    </a:xfrm>
                    <a:prstGeom prst="rect">
                      <a:avLst/>
                    </a:prstGeom>
                    <a:noFill/>
                    <a:ln>
                      <a:noFill/>
                    </a:ln>
                  </pic:spPr>
                </pic:pic>
              </a:graphicData>
            </a:graphic>
          </wp:inline>
        </w:drawing>
      </w:r>
    </w:p>
    <w:p>
      <w:pPr>
        <w:rPr>
          <w:rFonts w:ascii="宋体" w:hAnsi="宋体" w:cs="宋体"/>
          <w:kern w:val="0"/>
          <w:szCs w:val="24"/>
        </w:rPr>
      </w:pPr>
    </w:p>
    <w:p>
      <w:pPr>
        <w:rPr>
          <w:rFonts w:ascii="宋体" w:hAnsi="宋体" w:cs="宋体"/>
          <w:kern w:val="0"/>
          <w:szCs w:val="24"/>
        </w:rPr>
      </w:pPr>
      <w:r>
        <w:rPr>
          <w:rFonts w:hint="eastAsia" w:ascii="宋体" w:hAnsi="宋体" w:cs="宋体"/>
          <w:kern w:val="0"/>
          <w:szCs w:val="24"/>
        </w:rPr>
        <w:t>（3）</w:t>
      </w:r>
      <w:r>
        <w:rPr>
          <w:rFonts w:hint="eastAsia" w:ascii="宋体" w:hAnsi="宋体" w:cs="宋体"/>
          <w:kern w:val="0"/>
          <w:szCs w:val="24"/>
          <w:lang w:eastAsia="zh-CN"/>
        </w:rPr>
        <w:t>筛选后，在筛选结果页面</w:t>
      </w:r>
      <w:r>
        <w:rPr>
          <w:rFonts w:hint="eastAsia" w:ascii="宋体" w:hAnsi="宋体" w:cs="宋体"/>
          <w:kern w:val="0"/>
          <w:szCs w:val="24"/>
        </w:rPr>
        <w:t>，点击【导出</w:t>
      </w:r>
      <w:r>
        <w:rPr>
          <w:rFonts w:hint="eastAsia" w:ascii="宋体" w:hAnsi="宋体" w:cs="宋体"/>
          <w:kern w:val="0"/>
          <w:szCs w:val="24"/>
          <w:lang w:eastAsia="zh-CN"/>
        </w:rPr>
        <w:t>入围</w:t>
      </w:r>
      <w:r>
        <w:rPr>
          <w:rFonts w:hint="eastAsia" w:ascii="宋体" w:hAnsi="宋体" w:cs="宋体"/>
          <w:kern w:val="0"/>
          <w:szCs w:val="24"/>
        </w:rPr>
        <w:t>投标人名单】，选择下载路径并下载，即可导出采用数学模型筛选的入围投标人的Excel表格。</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22900" cy="3288030"/>
            <wp:effectExtent l="0" t="0" r="6350" b="7620"/>
            <wp:docPr id="1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6"/>
                    <pic:cNvPicPr>
                      <a:picLocks noChangeAspect="1"/>
                    </pic:cNvPicPr>
                  </pic:nvPicPr>
                  <pic:blipFill>
                    <a:blip r:embed="rId9"/>
                    <a:stretch>
                      <a:fillRect/>
                    </a:stretch>
                  </pic:blipFill>
                  <pic:spPr>
                    <a:xfrm>
                      <a:off x="0" y="0"/>
                      <a:ext cx="5422900" cy="3288030"/>
                    </a:xfrm>
                    <a:prstGeom prst="rect">
                      <a:avLst/>
                    </a:prstGeom>
                    <a:noFill/>
                    <a:ln w="9525">
                      <a:noFill/>
                    </a:ln>
                  </pic:spPr>
                </pic:pic>
              </a:graphicData>
            </a:graphic>
          </wp:inline>
        </w:drawing>
      </w:r>
    </w:p>
    <w:p/>
    <w:p/>
    <w:p>
      <w:pPr>
        <w:pStyle w:val="2"/>
      </w:pPr>
      <w:bookmarkStart w:id="6" w:name="_Toc4453"/>
      <w:r>
        <w:rPr>
          <w:rFonts w:hint="eastAsia"/>
        </w:rPr>
        <w:t>开标辅助系统操作</w:t>
      </w:r>
      <w:r>
        <w:rPr>
          <w:rFonts w:hint="eastAsia"/>
          <w:lang w:eastAsia="zh-CN"/>
        </w:rPr>
        <w:t>（</w:t>
      </w:r>
      <w:r>
        <w:rPr>
          <w:rFonts w:hint="eastAsia"/>
          <w:lang w:val="en-US" w:eastAsia="zh-CN"/>
        </w:rPr>
        <w:t>投标人</w:t>
      </w:r>
      <w:r>
        <w:rPr>
          <w:rFonts w:hint="eastAsia"/>
          <w:lang w:eastAsia="zh-CN"/>
        </w:rPr>
        <w:t>）</w:t>
      </w:r>
      <w:bookmarkEnd w:id="6"/>
    </w:p>
    <w:p>
      <w:pPr>
        <w:rPr>
          <w:rFonts w:ascii="宋体" w:hAnsi="宋体" w:cs="宋体"/>
          <w:kern w:val="0"/>
          <w:szCs w:val="24"/>
        </w:rPr>
      </w:pPr>
      <w:r>
        <w:rPr>
          <w:rFonts w:hint="eastAsia" w:ascii="宋体" w:hAnsi="宋体" w:cs="宋体"/>
          <w:kern w:val="0"/>
          <w:szCs w:val="24"/>
        </w:rPr>
        <w:t>（1）登录</w:t>
      </w:r>
      <w:r>
        <w:rPr>
          <w:rFonts w:hint="eastAsia"/>
        </w:rPr>
        <w:t>开标辅助系统。</w:t>
      </w:r>
    </w:p>
    <w:p>
      <w:r>
        <w:rPr>
          <w:rFonts w:ascii="宋体" w:hAnsi="宋体" w:cs="宋体"/>
          <w:kern w:val="0"/>
          <w:szCs w:val="24"/>
        </w:rPr>
        <w:drawing>
          <wp:inline distT="0" distB="0" distL="114300" distR="114300">
            <wp:extent cx="6188075" cy="2925445"/>
            <wp:effectExtent l="0" t="0" r="3175" b="825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7"/>
                    <a:stretch>
                      <a:fillRect/>
                    </a:stretch>
                  </pic:blipFill>
                  <pic:spPr>
                    <a:xfrm>
                      <a:off x="0" y="0"/>
                      <a:ext cx="6188075" cy="2925445"/>
                    </a:xfrm>
                    <a:prstGeom prst="rect">
                      <a:avLst/>
                    </a:prstGeom>
                    <a:noFill/>
                    <a:ln w="9525">
                      <a:noFill/>
                    </a:ln>
                  </pic:spPr>
                </pic:pic>
              </a:graphicData>
            </a:graphic>
          </wp:inline>
        </w:drawing>
      </w:r>
    </w:p>
    <w:p>
      <w:pPr>
        <w:rPr>
          <w:rFonts w:hint="default" w:ascii="宋体" w:hAnsi="宋体" w:eastAsia="宋体" w:cs="宋体"/>
          <w:kern w:val="0"/>
          <w:szCs w:val="24"/>
          <w:lang w:val="en-US" w:eastAsia="zh-CN"/>
        </w:rPr>
      </w:pPr>
      <w:r>
        <w:rPr>
          <w:rFonts w:hint="eastAsia" w:ascii="宋体" w:hAnsi="宋体" w:cs="宋体"/>
          <w:kern w:val="0"/>
          <w:szCs w:val="24"/>
        </w:rPr>
        <w:t>（2）在</w:t>
      </w:r>
      <w:r>
        <w:rPr>
          <w:rFonts w:hint="eastAsia" w:ascii="宋体" w:hAnsi="宋体" w:cs="宋体"/>
          <w:kern w:val="0"/>
          <w:szCs w:val="24"/>
          <w:lang w:eastAsia="zh-CN"/>
        </w:rPr>
        <w:t>入围投标人名单</w:t>
      </w:r>
      <w:r>
        <w:rPr>
          <w:rFonts w:hint="eastAsia" w:ascii="宋体" w:hAnsi="宋体" w:cs="宋体"/>
          <w:kern w:val="0"/>
          <w:szCs w:val="24"/>
        </w:rPr>
        <w:t>页面，点击【</w:t>
      </w:r>
      <w:r>
        <w:rPr>
          <w:rFonts w:hint="eastAsia" w:ascii="宋体" w:hAnsi="宋体" w:cs="宋体"/>
          <w:kern w:val="0"/>
          <w:szCs w:val="24"/>
          <w:lang w:eastAsia="zh-CN"/>
        </w:rPr>
        <w:t>校验筛选结果的</w:t>
      </w:r>
      <w:r>
        <w:rPr>
          <w:rFonts w:hint="eastAsia" w:ascii="宋体" w:hAnsi="宋体" w:cs="宋体"/>
          <w:kern w:val="0"/>
          <w:szCs w:val="24"/>
        </w:rPr>
        <w:t>投递信息下载】，选择下载路径并下载，即可下载此项目已解密成功的所有投标人xml格式的投递信息文档。</w:t>
      </w:r>
      <w:r>
        <w:rPr>
          <w:rFonts w:hint="eastAsia" w:ascii="宋体" w:hAnsi="宋体" w:cs="宋体"/>
          <w:kern w:val="0"/>
          <w:szCs w:val="24"/>
          <w:lang w:eastAsia="zh-CN"/>
        </w:rPr>
        <w:t>点击【导出入围投标人名单】</w:t>
      </w:r>
      <w:r>
        <w:rPr>
          <w:rFonts w:hint="eastAsia" w:ascii="宋体" w:hAnsi="宋体" w:cs="宋体"/>
          <w:kern w:val="0"/>
          <w:szCs w:val="24"/>
        </w:rPr>
        <w:t>，选择下载路径并下载，即可导出采用数学模型筛选的入围投标人的Excel表格。</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987415" cy="3683000"/>
            <wp:effectExtent l="0" t="0" r="13335" b="12700"/>
            <wp:docPr id="1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IMG_256"/>
                    <pic:cNvPicPr>
                      <a:picLocks noChangeAspect="1"/>
                    </pic:cNvPicPr>
                  </pic:nvPicPr>
                  <pic:blipFill>
                    <a:blip r:embed="rId10"/>
                    <a:stretch>
                      <a:fillRect/>
                    </a:stretch>
                  </pic:blipFill>
                  <pic:spPr>
                    <a:xfrm>
                      <a:off x="0" y="0"/>
                      <a:ext cx="5987415" cy="3683000"/>
                    </a:xfrm>
                    <a:prstGeom prst="rect">
                      <a:avLst/>
                    </a:prstGeom>
                    <a:noFill/>
                    <a:ln w="9525">
                      <a:noFill/>
                    </a:ln>
                  </pic:spPr>
                </pic:pic>
              </a:graphicData>
            </a:graphic>
          </wp:inline>
        </w:drawing>
      </w:r>
    </w:p>
    <w:p/>
    <w:p>
      <w:pPr>
        <w:pStyle w:val="2"/>
      </w:pPr>
      <w:bookmarkStart w:id="7" w:name="_Toc2044"/>
      <w:r>
        <w:rPr>
          <w:rFonts w:hint="eastAsia"/>
        </w:rPr>
        <w:t>离线版操作</w:t>
      </w:r>
      <w:bookmarkEnd w:id="7"/>
    </w:p>
    <w:p>
      <w:r>
        <w:rPr>
          <w:rFonts w:hint="eastAsia"/>
        </w:rPr>
        <w:t>（1）打开</w:t>
      </w:r>
      <w:r>
        <w:rPr>
          <w:rFonts w:hint="eastAsia"/>
          <w:lang w:val="en-US" w:eastAsia="zh-CN"/>
        </w:rPr>
        <w:t>下载</w:t>
      </w:r>
      <w:r>
        <w:rPr>
          <w:rFonts w:hint="eastAsia"/>
        </w:rPr>
        <w:t>好的数学模型离线版客户端的应用程序。</w:t>
      </w:r>
    </w:p>
    <w:p>
      <w:pPr>
        <w:keepNext w:val="0"/>
        <w:keepLines w:val="0"/>
        <w:widowControl/>
        <w:suppressLineNumbers w:val="0"/>
        <w:jc w:val="left"/>
        <w:rPr>
          <w:rFonts w:ascii="宋体" w:hAnsi="宋体" w:cs="宋体"/>
          <w:kern w:val="0"/>
          <w:szCs w:val="24"/>
        </w:rPr>
      </w:pPr>
      <w:r>
        <w:rPr>
          <w:rFonts w:ascii="宋体" w:hAnsi="宋体" w:eastAsia="宋体" w:cs="宋体"/>
          <w:kern w:val="0"/>
          <w:sz w:val="24"/>
          <w:szCs w:val="24"/>
          <w:lang w:val="en-US" w:eastAsia="zh-CN" w:bidi="ar"/>
        </w:rPr>
        <w:drawing>
          <wp:inline distT="0" distB="0" distL="114300" distR="114300">
            <wp:extent cx="5724525" cy="1085850"/>
            <wp:effectExtent l="0" t="0" r="9525" b="0"/>
            <wp:docPr id="1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56"/>
                    <pic:cNvPicPr>
                      <a:picLocks noChangeAspect="1"/>
                    </pic:cNvPicPr>
                  </pic:nvPicPr>
                  <pic:blipFill>
                    <a:blip r:embed="rId11"/>
                    <a:stretch>
                      <a:fillRect/>
                    </a:stretch>
                  </pic:blipFill>
                  <pic:spPr>
                    <a:xfrm>
                      <a:off x="0" y="0"/>
                      <a:ext cx="5724525" cy="1085850"/>
                    </a:xfrm>
                    <a:prstGeom prst="rect">
                      <a:avLst/>
                    </a:prstGeom>
                    <a:noFill/>
                    <a:ln w="9525">
                      <a:noFill/>
                    </a:ln>
                  </pic:spPr>
                </pic:pic>
              </a:graphicData>
            </a:graphic>
          </wp:inline>
        </w:drawing>
      </w:r>
    </w:p>
    <w:p>
      <w:pPr>
        <w:rPr>
          <w:rFonts w:ascii="宋体" w:hAnsi="宋体" w:cs="宋体"/>
          <w:kern w:val="0"/>
          <w:szCs w:val="24"/>
        </w:rPr>
      </w:pPr>
      <w:r>
        <w:rPr>
          <w:rFonts w:hint="eastAsia" w:ascii="宋体" w:hAnsi="宋体" w:cs="宋体"/>
          <w:kern w:val="0"/>
          <w:szCs w:val="24"/>
        </w:rPr>
        <w:t>（2）点击【选择文件】按钮，导入下载好的xml格式的投标人投递信息文档。</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01310" cy="3402965"/>
            <wp:effectExtent l="0" t="0" r="8890" b="6985"/>
            <wp:docPr id="2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IMG_256"/>
                    <pic:cNvPicPr>
                      <a:picLocks noChangeAspect="1"/>
                    </pic:cNvPicPr>
                  </pic:nvPicPr>
                  <pic:blipFill>
                    <a:blip r:embed="rId12"/>
                    <a:stretch>
                      <a:fillRect/>
                    </a:stretch>
                  </pic:blipFill>
                  <pic:spPr>
                    <a:xfrm>
                      <a:off x="0" y="0"/>
                      <a:ext cx="5401310" cy="3402965"/>
                    </a:xfrm>
                    <a:prstGeom prst="rect">
                      <a:avLst/>
                    </a:prstGeom>
                    <a:noFill/>
                    <a:ln w="9525">
                      <a:noFill/>
                    </a:ln>
                  </pic:spPr>
                </pic:pic>
              </a:graphicData>
            </a:graphic>
          </wp:inline>
        </w:drawing>
      </w:r>
    </w:p>
    <w:p>
      <w:pPr>
        <w:rPr>
          <w:rFonts w:ascii="宋体" w:hAnsi="宋体" w:cs="宋体"/>
          <w:kern w:val="0"/>
          <w:szCs w:val="24"/>
        </w:rPr>
      </w:pPr>
    </w:p>
    <w:p>
      <w:pPr>
        <w:rPr>
          <w:rFonts w:ascii="宋体" w:hAnsi="宋体" w:cs="宋体"/>
          <w:kern w:val="0"/>
          <w:szCs w:val="24"/>
        </w:rPr>
      </w:pPr>
      <w:r>
        <w:rPr>
          <w:rFonts w:hint="eastAsia" w:ascii="宋体" w:hAnsi="宋体" w:cs="宋体"/>
          <w:kern w:val="0"/>
          <w:szCs w:val="24"/>
        </w:rPr>
        <w:t>（3）点击【开始筛选】按钮，确定采用数学模型算法筛选投标人。页面将显示入围投标人与未入围投标人的投标人名称。</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706745" cy="3596005"/>
            <wp:effectExtent l="0" t="0" r="8255" b="4445"/>
            <wp:docPr id="2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IMG_256"/>
                    <pic:cNvPicPr>
                      <a:picLocks noChangeAspect="1"/>
                    </pic:cNvPicPr>
                  </pic:nvPicPr>
                  <pic:blipFill>
                    <a:blip r:embed="rId13"/>
                    <a:stretch>
                      <a:fillRect/>
                    </a:stretch>
                  </pic:blipFill>
                  <pic:spPr>
                    <a:xfrm>
                      <a:off x="0" y="0"/>
                      <a:ext cx="5706745" cy="359600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760085" cy="3629025"/>
            <wp:effectExtent l="0" t="0" r="12065" b="9525"/>
            <wp:docPr id="2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IMG_256"/>
                    <pic:cNvPicPr>
                      <a:picLocks noChangeAspect="1"/>
                    </pic:cNvPicPr>
                  </pic:nvPicPr>
                  <pic:blipFill>
                    <a:blip r:embed="rId14"/>
                    <a:stretch>
                      <a:fillRect/>
                    </a:stretch>
                  </pic:blipFill>
                  <pic:spPr>
                    <a:xfrm>
                      <a:off x="0" y="0"/>
                      <a:ext cx="5760085" cy="3629025"/>
                    </a:xfrm>
                    <a:prstGeom prst="rect">
                      <a:avLst/>
                    </a:prstGeom>
                    <a:noFill/>
                    <a:ln w="9525">
                      <a:noFill/>
                    </a:ln>
                  </pic:spPr>
                </pic:pic>
              </a:graphicData>
            </a:graphic>
          </wp:inline>
        </w:drawing>
      </w:r>
    </w:p>
    <w:p>
      <w:pPr>
        <w:rPr>
          <w:rFonts w:ascii="宋体" w:hAnsi="宋体" w:cs="宋体"/>
          <w:kern w:val="0"/>
          <w:szCs w:val="24"/>
        </w:rPr>
      </w:pPr>
    </w:p>
    <w:p>
      <w:pPr>
        <w:rPr>
          <w:rFonts w:ascii="宋体" w:hAnsi="宋体" w:cs="宋体"/>
          <w:kern w:val="0"/>
          <w:szCs w:val="24"/>
        </w:rPr>
      </w:pPr>
    </w:p>
    <w:p>
      <w:pPr>
        <w:rPr>
          <w:rFonts w:ascii="宋体" w:hAnsi="宋体" w:cs="宋体"/>
          <w:kern w:val="0"/>
          <w:szCs w:val="24"/>
        </w:rPr>
      </w:pPr>
      <w:r>
        <w:rPr>
          <w:rFonts w:hint="eastAsia" w:ascii="宋体" w:hAnsi="宋体" w:cs="宋体"/>
          <w:kern w:val="0"/>
          <w:szCs w:val="24"/>
        </w:rPr>
        <w:t>（4）点击【导出筛选结果】，选择下载路径并保存，提示导出成功。</w:t>
      </w:r>
    </w:p>
    <w:p>
      <w:pPr>
        <w:rPr>
          <w:rFonts w:ascii="宋体" w:hAnsi="宋体" w:cs="宋体"/>
          <w:kern w:val="0"/>
          <w:szCs w:val="24"/>
        </w:rPr>
      </w:pPr>
      <w:r>
        <w:drawing>
          <wp:inline distT="0" distB="0" distL="114300" distR="114300">
            <wp:extent cx="5332730" cy="3851910"/>
            <wp:effectExtent l="0" t="0" r="1270" b="1524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5"/>
                    <a:stretch>
                      <a:fillRect/>
                    </a:stretch>
                  </pic:blipFill>
                  <pic:spPr>
                    <a:xfrm>
                      <a:off x="0" y="0"/>
                      <a:ext cx="5332730" cy="3851910"/>
                    </a:xfrm>
                    <a:prstGeom prst="rect">
                      <a:avLst/>
                    </a:prstGeom>
                    <a:noFill/>
                    <a:ln>
                      <a:noFill/>
                    </a:ln>
                  </pic:spPr>
                </pic:pic>
              </a:graphicData>
            </a:graphic>
          </wp:inline>
        </w:drawing>
      </w:r>
    </w:p>
    <w:p>
      <w:r>
        <w:drawing>
          <wp:inline distT="0" distB="0" distL="114300" distR="114300">
            <wp:extent cx="5267325" cy="3318510"/>
            <wp:effectExtent l="0" t="0" r="9525" b="1524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6"/>
                    <a:stretch>
                      <a:fillRect/>
                    </a:stretch>
                  </pic:blipFill>
                  <pic:spPr>
                    <a:xfrm>
                      <a:off x="0" y="0"/>
                      <a:ext cx="5267325" cy="3318510"/>
                    </a:xfrm>
                    <a:prstGeom prst="rect">
                      <a:avLst/>
                    </a:prstGeom>
                    <a:noFill/>
                    <a:ln>
                      <a:noFill/>
                    </a:ln>
                  </pic:spPr>
                </pic:pic>
              </a:graphicData>
            </a:graphic>
          </wp:inline>
        </w:drawing>
      </w:r>
    </w:p>
    <w:p>
      <w:pPr>
        <w:rPr>
          <w:rFonts w:ascii="宋体" w:hAnsi="宋体" w:cs="宋体"/>
          <w:kern w:val="0"/>
          <w:szCs w:val="24"/>
        </w:rPr>
      </w:pPr>
    </w:p>
    <w:p>
      <w:pPr>
        <w:rPr>
          <w:rFonts w:ascii="宋体" w:hAnsi="宋体" w:cs="宋体"/>
          <w:kern w:val="0"/>
          <w:szCs w:val="24"/>
        </w:rPr>
      </w:pPr>
    </w:p>
    <w:p>
      <w:pPr>
        <w:rPr>
          <w:rFonts w:ascii="宋体" w:hAnsi="宋体" w:cs="宋体"/>
          <w:kern w:val="0"/>
          <w:szCs w:val="24"/>
        </w:rPr>
      </w:pPr>
    </w:p>
    <w:p>
      <w:pPr>
        <w:rPr>
          <w:rFonts w:ascii="宋体" w:hAnsi="宋体" w:cs="宋体"/>
          <w:kern w:val="0"/>
          <w:szCs w:val="24"/>
        </w:rPr>
      </w:pPr>
    </w:p>
    <w:p>
      <w:pPr>
        <w:rPr>
          <w:rFonts w:ascii="宋体" w:hAnsi="宋体" w:cs="宋体"/>
          <w:kern w:val="0"/>
          <w:szCs w:val="24"/>
        </w:rPr>
      </w:pPr>
    </w:p>
    <w:p>
      <w:pPr>
        <w:pStyle w:val="2"/>
      </w:pPr>
      <w:bookmarkStart w:id="8" w:name="_Toc1229"/>
      <w:r>
        <w:rPr>
          <w:rFonts w:hint="eastAsia"/>
        </w:rPr>
        <w:t>筛选结果比对</w:t>
      </w:r>
      <w:bookmarkEnd w:id="8"/>
    </w:p>
    <w:p>
      <w:pPr>
        <w:ind w:firstLine="480" w:firstLineChars="200"/>
      </w:pPr>
      <w:r>
        <w:rPr>
          <w:rFonts w:ascii="宋体" w:hAnsi="宋体" w:cs="宋体"/>
          <w:kern w:val="0"/>
          <w:szCs w:val="24"/>
        </w:rPr>
        <w:t>将从开标辅助系统中下载的入围投标人名单Excel与数学模型离线版导出的</w:t>
      </w:r>
      <w:r>
        <w:rPr>
          <w:rFonts w:hint="eastAsia" w:ascii="宋体" w:hAnsi="宋体" w:cs="宋体"/>
          <w:kern w:val="0"/>
          <w:szCs w:val="24"/>
        </w:rPr>
        <w:t>自动</w:t>
      </w:r>
      <w:r>
        <w:rPr>
          <w:rFonts w:ascii="宋体" w:hAnsi="宋体" w:cs="宋体"/>
          <w:kern w:val="0"/>
          <w:szCs w:val="24"/>
        </w:rPr>
        <w:t xml:space="preserve">筛选结果Excel表格进行比较。 </w:t>
      </w:r>
    </w:p>
    <w:p>
      <w:pPr>
        <w:rPr>
          <w:rFonts w:ascii="宋体" w:hAnsi="宋体" w:cs="宋体"/>
          <w:kern w:val="0"/>
          <w:szCs w:val="24"/>
        </w:rPr>
      </w:pPr>
      <w:r>
        <w:rPr>
          <w:rFonts w:hint="eastAsia" w:ascii="宋体" w:hAnsi="宋体" w:cs="宋体"/>
          <w:kern w:val="0"/>
          <w:szCs w:val="24"/>
        </w:rPr>
        <w:t>（1）打开</w:t>
      </w:r>
      <w:r>
        <w:rPr>
          <w:rFonts w:ascii="宋体" w:hAnsi="宋体" w:cs="宋体"/>
          <w:kern w:val="0"/>
          <w:szCs w:val="24"/>
        </w:rPr>
        <w:t>开标辅助系统</w:t>
      </w:r>
      <w:r>
        <w:rPr>
          <w:rFonts w:hint="eastAsia" w:ascii="宋体" w:hAnsi="宋体" w:cs="宋体"/>
          <w:kern w:val="0"/>
          <w:szCs w:val="24"/>
        </w:rPr>
        <w:t>下载的采用数学模型筛选入围投标人名单的Excel表格，选择</w:t>
      </w:r>
      <w:r>
        <w:rPr>
          <w:rFonts w:hint="eastAsia" w:ascii="宋体" w:hAnsi="宋体" w:cs="宋体"/>
          <w:kern w:val="0"/>
          <w:szCs w:val="24"/>
          <w:lang w:val="en-US" w:eastAsia="zh-CN"/>
        </w:rPr>
        <w:t>B列</w:t>
      </w:r>
      <w:r>
        <w:rPr>
          <w:rFonts w:hint="eastAsia" w:ascii="宋体" w:hAnsi="宋体" w:cs="宋体"/>
          <w:kern w:val="0"/>
          <w:szCs w:val="24"/>
        </w:rPr>
        <w:t>并Ctrl+C复制。</w:t>
      </w:r>
    </w:p>
    <w:p>
      <w:r>
        <w:drawing>
          <wp:inline distT="0" distB="0" distL="114300" distR="114300">
            <wp:extent cx="5272405" cy="4309745"/>
            <wp:effectExtent l="0" t="0" r="4445"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272405" cy="4309745"/>
                    </a:xfrm>
                    <a:prstGeom prst="rect">
                      <a:avLst/>
                    </a:prstGeom>
                    <a:noFill/>
                    <a:ln>
                      <a:noFill/>
                    </a:ln>
                  </pic:spPr>
                </pic:pic>
              </a:graphicData>
            </a:graphic>
          </wp:inline>
        </w:drawing>
      </w:r>
    </w:p>
    <w:p>
      <w:pPr>
        <w:rPr>
          <w:rFonts w:ascii="宋体" w:hAnsi="宋体" w:cs="宋体"/>
          <w:kern w:val="0"/>
          <w:szCs w:val="24"/>
        </w:rPr>
      </w:pPr>
    </w:p>
    <w:p>
      <w:pPr>
        <w:rPr>
          <w:rFonts w:ascii="宋体" w:hAnsi="宋体" w:cs="宋体"/>
          <w:kern w:val="0"/>
          <w:szCs w:val="24"/>
        </w:rPr>
      </w:pPr>
      <w:r>
        <w:rPr>
          <w:rFonts w:hint="eastAsia" w:ascii="宋体" w:hAnsi="宋体" w:cs="宋体"/>
          <w:kern w:val="0"/>
          <w:szCs w:val="24"/>
        </w:rPr>
        <w:t>（2）打开数学模型离线版导出的Excel表格，选择</w:t>
      </w:r>
      <w:r>
        <w:rPr>
          <w:rFonts w:hint="eastAsia" w:ascii="宋体" w:hAnsi="宋体" w:cs="宋体"/>
          <w:kern w:val="0"/>
          <w:szCs w:val="24"/>
          <w:lang w:val="en-US" w:eastAsia="zh-CN"/>
        </w:rPr>
        <w:t>E</w:t>
      </w:r>
      <w:r>
        <w:rPr>
          <w:rFonts w:hint="eastAsia" w:ascii="宋体" w:hAnsi="宋体" w:cs="宋体"/>
          <w:kern w:val="0"/>
          <w:szCs w:val="24"/>
        </w:rPr>
        <w:t>1单元格，Ctrl+V粘贴刚复制的入围投标人名单。选择有字单元格，Ctrl+A全选，</w:t>
      </w:r>
      <w:r>
        <w:rPr>
          <w:rFonts w:hint="eastAsia" w:ascii="宋体" w:hAnsi="宋体" w:cs="宋体"/>
          <w:kern w:val="0"/>
          <w:szCs w:val="24"/>
          <w:lang w:eastAsia="zh-CN"/>
        </w:rPr>
        <w:t>点击数据的高亮重复项的设置高亮重复项（或</w:t>
      </w:r>
      <w:r>
        <w:rPr>
          <w:rFonts w:hint="eastAsia" w:ascii="宋体" w:hAnsi="宋体" w:cs="宋体"/>
          <w:kern w:val="0"/>
          <w:szCs w:val="24"/>
        </w:rPr>
        <w:t>选择条件格式的突出显示单元格规则的重复值，可选择重复或唯一，可选择单元格填充色</w:t>
      </w:r>
      <w:r>
        <w:rPr>
          <w:rFonts w:hint="eastAsia" w:ascii="宋体" w:hAnsi="宋体" w:cs="宋体"/>
          <w:kern w:val="0"/>
          <w:szCs w:val="24"/>
          <w:lang w:eastAsia="zh-CN"/>
        </w:rPr>
        <w:t>）</w:t>
      </w:r>
      <w:r>
        <w:rPr>
          <w:rFonts w:hint="eastAsia" w:ascii="宋体" w:hAnsi="宋体" w:cs="宋体"/>
          <w:kern w:val="0"/>
          <w:szCs w:val="24"/>
        </w:rPr>
        <w:t>，确定后将自动比对“</w:t>
      </w:r>
      <w:r>
        <w:rPr>
          <w:rFonts w:hint="eastAsia"/>
        </w:rPr>
        <w:t>开标辅助系统</w:t>
      </w:r>
      <w:r>
        <w:rPr>
          <w:rFonts w:hint="eastAsia" w:ascii="宋体" w:hAnsi="宋体" w:cs="宋体"/>
          <w:kern w:val="0"/>
          <w:szCs w:val="24"/>
        </w:rPr>
        <w:t>”随机筛选入围投标人数学模型的筛选结果与离线版的是否一致。</w:t>
      </w:r>
    </w:p>
    <w:p>
      <w:r>
        <w:drawing>
          <wp:inline distT="0" distB="0" distL="114300" distR="114300">
            <wp:extent cx="5270500" cy="4290695"/>
            <wp:effectExtent l="0" t="0" r="6350" b="146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5270500" cy="4290695"/>
                    </a:xfrm>
                    <a:prstGeom prst="rect">
                      <a:avLst/>
                    </a:prstGeom>
                    <a:noFill/>
                    <a:ln>
                      <a:noFill/>
                    </a:ln>
                  </pic:spPr>
                </pic:pic>
              </a:graphicData>
            </a:graphic>
          </wp:inline>
        </w:drawing>
      </w:r>
    </w:p>
    <w:p>
      <w:pPr>
        <w:rPr>
          <w:rFonts w:ascii="宋体" w:hAnsi="宋体" w:cs="宋体"/>
          <w:kern w:val="0"/>
          <w:szCs w:val="24"/>
        </w:rPr>
      </w:pPr>
    </w:p>
    <w:p>
      <w:r>
        <w:drawing>
          <wp:inline distT="0" distB="0" distL="114300" distR="114300">
            <wp:extent cx="4229100" cy="190500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9"/>
                    <a:stretch>
                      <a:fillRect/>
                    </a:stretch>
                  </pic:blipFill>
                  <pic:spPr>
                    <a:xfrm>
                      <a:off x="0" y="0"/>
                      <a:ext cx="4229100" cy="1905000"/>
                    </a:xfrm>
                    <a:prstGeom prst="rect">
                      <a:avLst/>
                    </a:prstGeom>
                    <a:noFill/>
                    <a:ln>
                      <a:noFill/>
                    </a:ln>
                  </pic:spPr>
                </pic:pic>
              </a:graphicData>
            </a:graphic>
          </wp:inline>
        </w:drawing>
      </w:r>
    </w:p>
    <w:p>
      <w:r>
        <w:drawing>
          <wp:inline distT="0" distB="0" distL="114300" distR="114300">
            <wp:extent cx="5267325" cy="4300220"/>
            <wp:effectExtent l="0" t="0" r="9525" b="50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0"/>
                    <a:stretch>
                      <a:fillRect/>
                    </a:stretch>
                  </pic:blipFill>
                  <pic:spPr>
                    <a:xfrm>
                      <a:off x="0" y="0"/>
                      <a:ext cx="5267325" cy="4300220"/>
                    </a:xfrm>
                    <a:prstGeom prst="rect">
                      <a:avLst/>
                    </a:prstGeom>
                    <a:noFill/>
                    <a:ln>
                      <a:noFill/>
                    </a:ln>
                  </pic:spPr>
                </pic:pic>
              </a:graphicData>
            </a:graphic>
          </wp:inline>
        </w:drawing>
      </w:r>
    </w:p>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_x0000_s1027" o:spid="_x0000_s1027"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yQwk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qJZgo7unz9cvn24/L9M4EOALXWL+C3s/AM3WvTYdGj3kMZ5+4q&#10;p+KNiQjsgPp8hVd0gfAYNJ/N5zlMHLbxgfzZU7h1PrwRRpEoFNRhfwlWdtr60LuOLrGaNptGyrRD&#10;qUlb0JuXr/IUcLUgudSoEYfom41S6PbdMNnelGcM5kzPDW/5pkHxLfPhkTmQAQ2D4OEBRyUNiphB&#10;oqQ27tPf9NEfO4KVkhbkKqgG+ymRbzV2F3k4Cm4U9qOgj+rOgK1YB3pJIgJckKNYOaM+gvXrWAMm&#10;pjkqFTSM4l3oCY5fw8V6nZyO1jWHug8A8ywLW72zPJaJQHq7PgaAmTCOAPWoDLiBe2lLwz+J5P71&#10;nbyefvP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yskMJEwIAABUEAAAOAAAAAAAAAAEA&#10;IAAAAB8BAABkcnMvZTJvRG9jLnhtbFBLBQYAAAAABgAGAFkBAACkBQAAAAA=&#10;">
          <v:path/>
          <v:fill on="f" focussize="0,0"/>
          <v:stroke on="f" weight="0.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78EE33"/>
    <w:multiLevelType w:val="multilevel"/>
    <w:tmpl w:val="5C78EE33"/>
    <w:lvl w:ilvl="0" w:tentative="0">
      <w:start w:val="1"/>
      <w:numFmt w:val="decimal"/>
      <w:lvlText w:val="%1"/>
      <w:lvlJc w:val="left"/>
      <w:pPr>
        <w:ind w:left="0" w:firstLine="0"/>
      </w:pPr>
      <w:rPr>
        <w:rFonts w:hint="eastAsia"/>
      </w:rPr>
    </w:lvl>
    <w:lvl w:ilvl="1" w:tentative="0">
      <w:start w:val="1"/>
      <w:numFmt w:val="decimal"/>
      <w:lvlText w:val="%1.%2"/>
      <w:lvlJc w:val="left"/>
      <w:pPr>
        <w:ind w:left="0" w:firstLine="0"/>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suff w:val="space"/>
      <w:lvlText w:val="%1.%2.%3.%4.%5"/>
      <w:lvlJc w:val="left"/>
      <w:pPr>
        <w:ind w:left="851" w:firstLine="0"/>
      </w:pPr>
      <w:rPr>
        <w:rFonts w:hint="eastAsia"/>
      </w:rPr>
    </w:lvl>
    <w:lvl w:ilvl="5" w:tentative="0">
      <w:start w:val="1"/>
      <w:numFmt w:val="decimal"/>
      <w:pStyle w:val="17"/>
      <w:suff w:val="space"/>
      <w:lvlText w:val="%1.%2.%3.%4.%5.%6"/>
      <w:lvlJc w:val="left"/>
      <w:pPr>
        <w:ind w:left="851" w:firstLine="0"/>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5C78EF4D"/>
    <w:multiLevelType w:val="multilevel"/>
    <w:tmpl w:val="5C78EF4D"/>
    <w:lvl w:ilvl="0" w:tentative="0">
      <w:start w:val="1"/>
      <w:numFmt w:val="decimal"/>
      <w:pStyle w:val="2"/>
      <w:lvlText w:val="%1"/>
      <w:lvlJc w:val="left"/>
      <w:pPr>
        <w:ind w:left="0" w:firstLine="0"/>
      </w:pPr>
      <w:rPr>
        <w:rFonts w:hint="eastAsia"/>
      </w:rPr>
    </w:lvl>
    <w:lvl w:ilvl="1" w:tentative="0">
      <w:start w:val="1"/>
      <w:numFmt w:val="decimal"/>
      <w:pStyle w:val="3"/>
      <w:lvlText w:val="%1.%2"/>
      <w:lvlJc w:val="left"/>
      <w:pPr>
        <w:ind w:left="0" w:firstLine="0"/>
      </w:pPr>
      <w:rPr>
        <w:rFonts w:hint="eastAsia"/>
      </w:rPr>
    </w:lvl>
    <w:lvl w:ilvl="2" w:tentative="0">
      <w:start w:val="1"/>
      <w:numFmt w:val="decimal"/>
      <w:pStyle w:val="4"/>
      <w:lvlText w:val="%1.%2.%3"/>
      <w:lvlJc w:val="left"/>
      <w:pPr>
        <w:ind w:left="0" w:firstLine="0"/>
      </w:pPr>
      <w:rPr>
        <w:rFonts w:hint="eastAsia"/>
      </w:rPr>
    </w:lvl>
    <w:lvl w:ilvl="3" w:tentative="0">
      <w:start w:val="1"/>
      <w:numFmt w:val="decimal"/>
      <w:pStyle w:val="5"/>
      <w:lvlText w:val="%1.%2.%3.%4"/>
      <w:lvlJc w:val="left"/>
      <w:pPr>
        <w:ind w:left="0" w:firstLine="0"/>
      </w:pPr>
      <w:rPr>
        <w:rFonts w:hint="eastAsia"/>
      </w:rPr>
    </w:lvl>
    <w:lvl w:ilvl="4" w:tentative="0">
      <w:start w:val="1"/>
      <w:numFmt w:val="decimal"/>
      <w:pStyle w:val="15"/>
      <w:suff w:val="space"/>
      <w:lvlText w:val="%1.%2.%3.%4.%5"/>
      <w:lvlJc w:val="left"/>
      <w:pPr>
        <w:ind w:left="851" w:firstLine="0"/>
      </w:pPr>
      <w:rPr>
        <w:rFonts w:hint="eastAsia"/>
      </w:rPr>
    </w:lvl>
    <w:lvl w:ilvl="5" w:tentative="0">
      <w:start w:val="1"/>
      <w:numFmt w:val="decimal"/>
      <w:pStyle w:val="16"/>
      <w:suff w:val="space"/>
      <w:lvlText w:val="%1.%2.%3.%4.%5.%6"/>
      <w:lvlJc w:val="left"/>
      <w:pPr>
        <w:ind w:left="851" w:firstLine="0"/>
      </w:pPr>
      <w:rPr>
        <w:rFonts w:hint="eastAsia"/>
      </w:rPr>
    </w:lvl>
    <w:lvl w:ilvl="6" w:tentative="0">
      <w:start w:val="1"/>
      <w:numFmt w:val="decimal"/>
      <w:pStyle w:val="6"/>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2D84"/>
    <w:rsid w:val="00050F5B"/>
    <w:rsid w:val="0006687C"/>
    <w:rsid w:val="00090AB2"/>
    <w:rsid w:val="000D1998"/>
    <w:rsid w:val="000D76B1"/>
    <w:rsid w:val="000F4190"/>
    <w:rsid w:val="0012328D"/>
    <w:rsid w:val="00127F38"/>
    <w:rsid w:val="001527D6"/>
    <w:rsid w:val="00172A27"/>
    <w:rsid w:val="002672E5"/>
    <w:rsid w:val="002A4ADE"/>
    <w:rsid w:val="00407E42"/>
    <w:rsid w:val="00425026"/>
    <w:rsid w:val="004B210A"/>
    <w:rsid w:val="004D0798"/>
    <w:rsid w:val="004D4D65"/>
    <w:rsid w:val="00516531"/>
    <w:rsid w:val="00562C88"/>
    <w:rsid w:val="0056576F"/>
    <w:rsid w:val="00566E9F"/>
    <w:rsid w:val="00570CD0"/>
    <w:rsid w:val="00586783"/>
    <w:rsid w:val="005D7F6F"/>
    <w:rsid w:val="005E5A34"/>
    <w:rsid w:val="00601D74"/>
    <w:rsid w:val="006E7066"/>
    <w:rsid w:val="006E7E54"/>
    <w:rsid w:val="00737CC4"/>
    <w:rsid w:val="007A2CF4"/>
    <w:rsid w:val="007A7295"/>
    <w:rsid w:val="007C3ECC"/>
    <w:rsid w:val="007E118E"/>
    <w:rsid w:val="00817711"/>
    <w:rsid w:val="008556F7"/>
    <w:rsid w:val="008561E2"/>
    <w:rsid w:val="00875A99"/>
    <w:rsid w:val="008879D7"/>
    <w:rsid w:val="008A4ABF"/>
    <w:rsid w:val="008C18C5"/>
    <w:rsid w:val="008C4C41"/>
    <w:rsid w:val="008F5A33"/>
    <w:rsid w:val="008F67AC"/>
    <w:rsid w:val="00905254"/>
    <w:rsid w:val="0092106F"/>
    <w:rsid w:val="00965EC9"/>
    <w:rsid w:val="009B50A6"/>
    <w:rsid w:val="009B5F0F"/>
    <w:rsid w:val="009B70E4"/>
    <w:rsid w:val="00A23EF6"/>
    <w:rsid w:val="00A61EF0"/>
    <w:rsid w:val="00AB0502"/>
    <w:rsid w:val="00AE16AB"/>
    <w:rsid w:val="00B57BEA"/>
    <w:rsid w:val="00BD3575"/>
    <w:rsid w:val="00BE3F78"/>
    <w:rsid w:val="00C45D83"/>
    <w:rsid w:val="00C70FEC"/>
    <w:rsid w:val="00CE06B9"/>
    <w:rsid w:val="00CF171B"/>
    <w:rsid w:val="00D054AE"/>
    <w:rsid w:val="00D12478"/>
    <w:rsid w:val="00D55D23"/>
    <w:rsid w:val="00DF1144"/>
    <w:rsid w:val="00E376F7"/>
    <w:rsid w:val="00E400F0"/>
    <w:rsid w:val="00E91BFC"/>
    <w:rsid w:val="00F4664E"/>
    <w:rsid w:val="00F67C49"/>
    <w:rsid w:val="00FC141A"/>
    <w:rsid w:val="02300F52"/>
    <w:rsid w:val="02E53628"/>
    <w:rsid w:val="02E96176"/>
    <w:rsid w:val="058B722B"/>
    <w:rsid w:val="0BCF09DE"/>
    <w:rsid w:val="0C287555"/>
    <w:rsid w:val="0FC65041"/>
    <w:rsid w:val="13C57DF3"/>
    <w:rsid w:val="15C60F24"/>
    <w:rsid w:val="17134F4E"/>
    <w:rsid w:val="17604F06"/>
    <w:rsid w:val="18871E6D"/>
    <w:rsid w:val="19B43F30"/>
    <w:rsid w:val="1D896864"/>
    <w:rsid w:val="20A94C4E"/>
    <w:rsid w:val="21AF5200"/>
    <w:rsid w:val="225B3590"/>
    <w:rsid w:val="245F72AD"/>
    <w:rsid w:val="26C1797D"/>
    <w:rsid w:val="27F44022"/>
    <w:rsid w:val="296E68AB"/>
    <w:rsid w:val="29995796"/>
    <w:rsid w:val="2F351D8A"/>
    <w:rsid w:val="31385F24"/>
    <w:rsid w:val="32E255FE"/>
    <w:rsid w:val="344C09F8"/>
    <w:rsid w:val="385D3630"/>
    <w:rsid w:val="39035A67"/>
    <w:rsid w:val="3D90377F"/>
    <w:rsid w:val="3EBE13F2"/>
    <w:rsid w:val="3F2E5762"/>
    <w:rsid w:val="40C2228D"/>
    <w:rsid w:val="41722ED4"/>
    <w:rsid w:val="41A32011"/>
    <w:rsid w:val="448A2DCF"/>
    <w:rsid w:val="45097D89"/>
    <w:rsid w:val="450C5D41"/>
    <w:rsid w:val="452E1134"/>
    <w:rsid w:val="479C6A9F"/>
    <w:rsid w:val="4A0343BF"/>
    <w:rsid w:val="4D462F72"/>
    <w:rsid w:val="4F7E144D"/>
    <w:rsid w:val="52DC4FBF"/>
    <w:rsid w:val="56CB3E83"/>
    <w:rsid w:val="56CE1FC9"/>
    <w:rsid w:val="588D5D7E"/>
    <w:rsid w:val="5D016793"/>
    <w:rsid w:val="5F1C1231"/>
    <w:rsid w:val="639F3B32"/>
    <w:rsid w:val="685027EE"/>
    <w:rsid w:val="71EF4996"/>
    <w:rsid w:val="72F95CD8"/>
    <w:rsid w:val="75786C95"/>
    <w:rsid w:val="77313E99"/>
    <w:rsid w:val="777E0E02"/>
    <w:rsid w:val="785E3331"/>
    <w:rsid w:val="78AF5FF9"/>
    <w:rsid w:val="78E751A3"/>
    <w:rsid w:val="794C74F0"/>
    <w:rsid w:val="79AE1A2F"/>
    <w:rsid w:val="7F31267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00" w:lineRule="auto"/>
    </w:pPr>
    <w:rPr>
      <w:rFonts w:ascii="Times New Roman" w:hAnsi="Times New Roman" w:eastAsia="宋体" w:cstheme="minorBidi"/>
      <w:kern w:val="2"/>
      <w:sz w:val="24"/>
      <w:szCs w:val="21"/>
      <w:lang w:val="en-US" w:eastAsia="zh-CN" w:bidi="ar-SA"/>
    </w:rPr>
  </w:style>
  <w:style w:type="paragraph" w:styleId="2">
    <w:name w:val="heading 1"/>
    <w:basedOn w:val="1"/>
    <w:next w:val="1"/>
    <w:link w:val="19"/>
    <w:qFormat/>
    <w:uiPriority w:val="0"/>
    <w:pPr>
      <w:keepNext/>
      <w:keepLines/>
      <w:numPr>
        <w:ilvl w:val="0"/>
        <w:numId w:val="1"/>
      </w:numPr>
      <w:spacing w:before="340" w:after="330" w:line="576" w:lineRule="auto"/>
      <w:outlineLvl w:val="0"/>
    </w:pPr>
    <w:rPr>
      <w:rFonts w:ascii="Calibri" w:hAnsi="Calibri" w:eastAsia="黑体"/>
      <w:b/>
      <w:bCs/>
      <w:kern w:val="44"/>
      <w:sz w:val="44"/>
      <w:szCs w:val="44"/>
    </w:rPr>
  </w:style>
  <w:style w:type="paragraph" w:styleId="3">
    <w:name w:val="heading 2"/>
    <w:basedOn w:val="1"/>
    <w:next w:val="1"/>
    <w:unhideWhenUsed/>
    <w:qFormat/>
    <w:uiPriority w:val="0"/>
    <w:pPr>
      <w:keepNext/>
      <w:keepLines/>
      <w:numPr>
        <w:ilvl w:val="1"/>
        <w:numId w:val="1"/>
      </w:numPr>
      <w:tabs>
        <w:tab w:val="left" w:pos="576"/>
      </w:tabs>
      <w:spacing w:before="260" w:after="260" w:line="416" w:lineRule="auto"/>
      <w:outlineLvl w:val="1"/>
    </w:pPr>
    <w:rPr>
      <w:rFonts w:eastAsia="黑体" w:asciiTheme="minorHAnsi" w:hAnsiTheme="minorHAnsi" w:cstheme="majorBidi"/>
      <w:b/>
      <w:sz w:val="32"/>
    </w:rPr>
  </w:style>
  <w:style w:type="paragraph" w:styleId="4">
    <w:name w:val="heading 3"/>
    <w:basedOn w:val="1"/>
    <w:next w:val="1"/>
    <w:unhideWhenUsed/>
    <w:qFormat/>
    <w:uiPriority w:val="0"/>
    <w:pPr>
      <w:keepNext/>
      <w:keepLines/>
      <w:numPr>
        <w:ilvl w:val="2"/>
        <w:numId w:val="1"/>
      </w:numPr>
      <w:spacing w:line="413" w:lineRule="auto"/>
      <w:outlineLvl w:val="2"/>
    </w:pPr>
    <w:rPr>
      <w:b/>
      <w:sz w:val="32"/>
    </w:rPr>
  </w:style>
  <w:style w:type="paragraph" w:styleId="5">
    <w:name w:val="heading 4"/>
    <w:basedOn w:val="1"/>
    <w:next w:val="1"/>
    <w:unhideWhenUsed/>
    <w:qFormat/>
    <w:uiPriority w:val="0"/>
    <w:pPr>
      <w:keepNext/>
      <w:keepLines/>
      <w:numPr>
        <w:ilvl w:val="3"/>
        <w:numId w:val="1"/>
      </w:numPr>
      <w:spacing w:line="372" w:lineRule="auto"/>
      <w:outlineLvl w:val="3"/>
    </w:pPr>
    <w:rPr>
      <w:rFonts w:ascii="Arial" w:hAnsi="Arial" w:eastAsia="黑体"/>
      <w:b/>
      <w:sz w:val="28"/>
    </w:rPr>
  </w:style>
  <w:style w:type="paragraph" w:styleId="6">
    <w:name w:val="heading 7"/>
    <w:basedOn w:val="1"/>
    <w:next w:val="1"/>
    <w:unhideWhenUsed/>
    <w:qFormat/>
    <w:uiPriority w:val="0"/>
    <w:pPr>
      <w:keepNext/>
      <w:keepLines/>
      <w:numPr>
        <w:ilvl w:val="6"/>
        <w:numId w:val="1"/>
      </w:numPr>
      <w:spacing w:line="317" w:lineRule="auto"/>
      <w:outlineLvl w:val="6"/>
    </w:pPr>
    <w:rPr>
      <w:b/>
    </w:rPr>
  </w:style>
  <w:style w:type="character" w:default="1" w:styleId="13">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7">
    <w:name w:val="Balloon Text"/>
    <w:basedOn w:val="1"/>
    <w:link w:val="18"/>
    <w:qFormat/>
    <w:uiPriority w:val="0"/>
    <w:pPr>
      <w:spacing w:line="240" w:lineRule="auto"/>
    </w:pPr>
    <w:rPr>
      <w:sz w:val="18"/>
      <w:szCs w:val="18"/>
    </w:r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rPr>
      <w:rFonts w:asciiTheme="minorHAnsi" w:hAnsiTheme="minorHAnsi"/>
      <w:sz w:val="18"/>
    </w:rPr>
  </w:style>
  <w:style w:type="paragraph" w:customStyle="1" w:styleId="14">
    <w:name w:val="列出段落2"/>
    <w:basedOn w:val="1"/>
    <w:unhideWhenUsed/>
    <w:qFormat/>
    <w:uiPriority w:val="99"/>
    <w:pPr>
      <w:ind w:firstLine="643" w:firstLineChars="200"/>
    </w:pPr>
    <w:rPr>
      <w:rFonts w:ascii="Calibri" w:hAnsi="Calibri" w:cs="黑体"/>
    </w:rPr>
  </w:style>
  <w:style w:type="paragraph" w:customStyle="1" w:styleId="15">
    <w:name w:val="标题5"/>
    <w:basedOn w:val="1"/>
    <w:qFormat/>
    <w:uiPriority w:val="0"/>
    <w:pPr>
      <w:numPr>
        <w:ilvl w:val="4"/>
        <w:numId w:val="1"/>
      </w:numPr>
    </w:pPr>
  </w:style>
  <w:style w:type="paragraph" w:customStyle="1" w:styleId="16">
    <w:name w:val="标题6"/>
    <w:basedOn w:val="1"/>
    <w:qFormat/>
    <w:uiPriority w:val="0"/>
    <w:pPr>
      <w:numPr>
        <w:ilvl w:val="5"/>
        <w:numId w:val="1"/>
      </w:numPr>
    </w:pPr>
  </w:style>
  <w:style w:type="paragraph" w:customStyle="1" w:styleId="17">
    <w:name w:val="777"/>
    <w:basedOn w:val="1"/>
    <w:qFormat/>
    <w:uiPriority w:val="0"/>
    <w:pPr>
      <w:numPr>
        <w:ilvl w:val="5"/>
        <w:numId w:val="2"/>
      </w:numPr>
    </w:pPr>
  </w:style>
  <w:style w:type="character" w:customStyle="1" w:styleId="18">
    <w:name w:val="批注框文本 Char"/>
    <w:basedOn w:val="13"/>
    <w:link w:val="7"/>
    <w:qFormat/>
    <w:uiPriority w:val="0"/>
    <w:rPr>
      <w:rFonts w:cstheme="minorBidi"/>
      <w:kern w:val="2"/>
      <w:sz w:val="18"/>
      <w:szCs w:val="18"/>
    </w:rPr>
  </w:style>
  <w:style w:type="character" w:customStyle="1" w:styleId="19">
    <w:name w:val="标题 1 Char"/>
    <w:link w:val="2"/>
    <w:qFormat/>
    <w:uiPriority w:val="0"/>
    <w:rPr>
      <w:rFonts w:ascii="Calibri" w:hAnsi="Calibri" w:eastAsia="黑体"/>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Kingsoft</Company>
  <Pages>10</Pages>
  <Words>255</Words>
  <Characters>1458</Characters>
  <Lines>12</Lines>
  <Paragraphs>3</Paragraphs>
  <TotalTime>0</TotalTime>
  <ScaleCrop>false</ScaleCrop>
  <LinksUpToDate>false</LinksUpToDate>
  <CharactersWithSpaces>1710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2019-07-24T05:24:00Z</dcterms:created>
  <dc:creator>zhaoxinlei</dc:creator>
  <cp:lastModifiedBy>Administrator</cp:lastModifiedBy>
  <cp:lastPrinted>2019-07-26T06:53:00Z</cp:lastPrinted>
  <dcterms:modified xsi:type="dcterms:W3CDTF">2020-01-22T10:06:34Z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